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59111E" w14:textId="6D1CF7FD" w:rsidR="003A67F1" w:rsidRPr="006460C3" w:rsidRDefault="00B11428">
      <w:pPr>
        <w:rPr>
          <w:rFonts w:ascii="Verdana" w:hAnsi="Verdana"/>
          <w:b/>
          <w:bCs/>
          <w:color w:val="FFC000"/>
          <w:sz w:val="32"/>
          <w:szCs w:val="32"/>
        </w:rPr>
      </w:pPr>
      <w:r>
        <w:rPr>
          <w:rFonts w:ascii="Verdana" w:hAnsi="Verdana"/>
          <w:b/>
          <w:bCs/>
          <w:color w:val="FFC000"/>
          <w:sz w:val="32"/>
          <w:szCs w:val="32"/>
        </w:rPr>
        <w:t>Activity 3 – Quality Measures</w:t>
      </w:r>
    </w:p>
    <w:p w14:paraId="1CBD9172" w14:textId="77777777" w:rsidR="003C4C93" w:rsidRDefault="003C4C93">
      <w:pPr>
        <w:rPr>
          <w:rFonts w:ascii="Verdana" w:hAnsi="Verdana"/>
          <w:b/>
          <w:bCs/>
          <w:sz w:val="24"/>
          <w:szCs w:val="24"/>
        </w:rPr>
      </w:pPr>
    </w:p>
    <w:p w14:paraId="37E611CD" w14:textId="751F2447" w:rsidR="003C4C93" w:rsidRPr="003C4C93" w:rsidRDefault="00AE0087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Practise of Quality Measures </w:t>
      </w:r>
    </w:p>
    <w:p w14:paraId="1ED3070B" w14:textId="3AC3230B" w:rsidR="007F366F" w:rsidRDefault="007F366F" w:rsidP="006460C3">
      <w:pPr>
        <w:rPr>
          <w:rFonts w:ascii="Verdana" w:hAnsi="Verdana"/>
          <w:sz w:val="24"/>
          <w:szCs w:val="24"/>
        </w:rPr>
      </w:pPr>
      <w:r w:rsidRPr="007F366F">
        <w:rPr>
          <w:rFonts w:ascii="Verdana" w:hAnsi="Verdana"/>
          <w:sz w:val="24"/>
          <w:szCs w:val="24"/>
        </w:rPr>
        <w:t>Quality is about safety, but also consistency</w:t>
      </w:r>
      <w:r w:rsidR="00EB6362">
        <w:rPr>
          <w:rFonts w:ascii="Verdana" w:hAnsi="Verdana"/>
          <w:sz w:val="24"/>
          <w:szCs w:val="24"/>
        </w:rPr>
        <w:t xml:space="preserve"> of products. Part of quality control and quality assurance is monitoring and maintaining this consistency.</w:t>
      </w:r>
    </w:p>
    <w:p w14:paraId="6B244179" w14:textId="77777777" w:rsidR="00EB6362" w:rsidRPr="007F366F" w:rsidRDefault="00EB6362" w:rsidP="006460C3">
      <w:pPr>
        <w:rPr>
          <w:rFonts w:ascii="Verdana" w:hAnsi="Verdana"/>
          <w:sz w:val="24"/>
          <w:szCs w:val="24"/>
        </w:rPr>
      </w:pPr>
    </w:p>
    <w:p w14:paraId="4081E314" w14:textId="5C081A5C" w:rsidR="00AE0087" w:rsidRPr="00AE0087" w:rsidRDefault="00AE0087" w:rsidP="00AE0087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  <w:u w:val="single"/>
        </w:rPr>
      </w:pPr>
      <w:r w:rsidRPr="00AE0087">
        <w:rPr>
          <w:rFonts w:ascii="Verdana" w:hAnsi="Verdana"/>
          <w:sz w:val="24"/>
          <w:szCs w:val="24"/>
          <w:u w:val="single"/>
        </w:rPr>
        <w:t>Measurement of Size and Shape</w:t>
      </w:r>
    </w:p>
    <w:p w14:paraId="48FCD288" w14:textId="39ADE7A3" w:rsidR="00AE0087" w:rsidRDefault="00AE0087" w:rsidP="006460C3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Using Vernier Calipers.</w:t>
      </w:r>
    </w:p>
    <w:p w14:paraId="761B306D" w14:textId="2D80002B" w:rsidR="00AE0087" w:rsidRDefault="00AE0087" w:rsidP="00AE0087">
      <w:pPr>
        <w:jc w:val="center"/>
        <w:rPr>
          <w:rFonts w:ascii="Verdana" w:hAnsi="Verdana"/>
          <w:sz w:val="24"/>
          <w:szCs w:val="24"/>
        </w:rPr>
      </w:pPr>
      <w:r w:rsidRPr="00AE0087">
        <w:rPr>
          <w:noProof/>
        </w:rPr>
        <w:drawing>
          <wp:inline distT="0" distB="0" distL="0" distR="0" wp14:anchorId="5E8A1D45" wp14:editId="3A0ED423">
            <wp:extent cx="3308350" cy="1233026"/>
            <wp:effectExtent l="0" t="0" r="635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49123" cy="1248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933043" w14:textId="2C990B67" w:rsidR="00AE0087" w:rsidRDefault="00AE0087" w:rsidP="006460C3">
      <w:pPr>
        <w:rPr>
          <w:rFonts w:ascii="Verdana" w:hAnsi="Verdana"/>
          <w:sz w:val="20"/>
          <w:szCs w:val="20"/>
        </w:rPr>
      </w:pPr>
      <w:r w:rsidRPr="00AE0087">
        <w:rPr>
          <w:rFonts w:ascii="Verdana" w:hAnsi="Verdana"/>
          <w:sz w:val="20"/>
          <w:szCs w:val="20"/>
        </w:rPr>
        <w:t xml:space="preserve">Reference: </w:t>
      </w:r>
      <w:hyperlink r:id="rId6" w:history="1">
        <w:r w:rsidRPr="00AE0087">
          <w:rPr>
            <w:rStyle w:val="Hyperlink"/>
            <w:rFonts w:ascii="Verdana" w:hAnsi="Verdana"/>
            <w:sz w:val="20"/>
            <w:szCs w:val="20"/>
          </w:rPr>
          <w:t>https://www.miniphysics.com/how-to-read-a-vernier-caliper.html</w:t>
        </w:r>
      </w:hyperlink>
      <w:r w:rsidRPr="00AE0087">
        <w:rPr>
          <w:rFonts w:ascii="Verdana" w:hAnsi="Verdana"/>
          <w:sz w:val="20"/>
          <w:szCs w:val="20"/>
        </w:rPr>
        <w:t xml:space="preserve"> </w:t>
      </w:r>
    </w:p>
    <w:p w14:paraId="065748A3" w14:textId="2CC940F4" w:rsidR="00AE0087" w:rsidRDefault="00AE0087" w:rsidP="006460C3">
      <w:pPr>
        <w:rPr>
          <w:rFonts w:ascii="Verdana" w:hAnsi="Verdana"/>
          <w:sz w:val="24"/>
          <w:szCs w:val="24"/>
        </w:rPr>
      </w:pPr>
      <w:r w:rsidRPr="00AE0087">
        <w:rPr>
          <w:rFonts w:ascii="Verdana" w:hAnsi="Verdana"/>
          <w:sz w:val="24"/>
          <w:szCs w:val="24"/>
        </w:rPr>
        <w:t>Many these days have a digital display as well so you may not always need to do manual reads.</w:t>
      </w:r>
      <w:r>
        <w:rPr>
          <w:rFonts w:ascii="Verdana" w:hAnsi="Verdana"/>
          <w:sz w:val="24"/>
          <w:szCs w:val="24"/>
        </w:rPr>
        <w:t xml:space="preserve"> The link above is a good guide on how to use manual vernier cal</w:t>
      </w:r>
      <w:r w:rsidR="00E6073F">
        <w:rPr>
          <w:rFonts w:ascii="Verdana" w:hAnsi="Verdana"/>
          <w:sz w:val="24"/>
          <w:szCs w:val="24"/>
        </w:rPr>
        <w:t>ipers, but for digital ones the procedure basically involves a) zero-ing, aligning the object between the jaws and then taking the reading.</w:t>
      </w:r>
    </w:p>
    <w:p w14:paraId="21BA1AAB" w14:textId="0B628426" w:rsidR="00AE0087" w:rsidRDefault="00AE0087" w:rsidP="00AE0087">
      <w:pPr>
        <w:pStyle w:val="ListParagraph"/>
        <w:numPr>
          <w:ilvl w:val="0"/>
          <w:numId w:val="3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Pick your food item and identify the primary ‘shape’. Typically</w:t>
      </w:r>
      <w:r w:rsidR="00E6073F">
        <w:rPr>
          <w:rFonts w:ascii="Verdana" w:hAnsi="Verdana"/>
          <w:sz w:val="24"/>
          <w:szCs w:val="24"/>
        </w:rPr>
        <w:t>,</w:t>
      </w:r>
      <w:r>
        <w:rPr>
          <w:rFonts w:ascii="Verdana" w:hAnsi="Verdana"/>
          <w:sz w:val="24"/>
          <w:szCs w:val="24"/>
        </w:rPr>
        <w:t xml:space="preserve"> the foods may be cuboid, spherical or disc-shaped. (or random odd shapes).</w:t>
      </w:r>
    </w:p>
    <w:p w14:paraId="0D533E14" w14:textId="28E6A074" w:rsidR="006F2DEC" w:rsidRPr="006F2DEC" w:rsidRDefault="00AE0087" w:rsidP="006F2DEC">
      <w:pPr>
        <w:pStyle w:val="ListParagraph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6F2DEC">
        <w:rPr>
          <w:rFonts w:ascii="Verdana" w:hAnsi="Verdana"/>
          <w:sz w:val="24"/>
          <w:szCs w:val="24"/>
        </w:rPr>
        <w:t>Measure the key dimensions – what would these be for each of the shapes above? Measure them at different points ‘around’ the shape. For e.g. a Tim Tam might be a cuboid – measure the thickness at different points along the Tim Tam. For an orange, measure the diameter at different points around the orange.</w:t>
      </w:r>
      <w:r w:rsidR="006F2DEC" w:rsidRPr="006F2DEC">
        <w:rPr>
          <w:rFonts w:ascii="Verdana" w:hAnsi="Verdana"/>
          <w:sz w:val="24"/>
          <w:szCs w:val="24"/>
        </w:rPr>
        <w:t xml:space="preserve"> </w:t>
      </w:r>
      <w:r w:rsidR="00514A91" w:rsidRPr="00514A91">
        <w:rPr>
          <w:rFonts w:ascii="Verdana" w:hAnsi="Verdana"/>
          <w:i/>
          <w:iCs/>
          <w:color w:val="4472C4" w:themeColor="accent1"/>
          <w:sz w:val="24"/>
          <w:szCs w:val="24"/>
        </w:rPr>
        <w:t xml:space="preserve">Vernier calipers 14.09, 14.59, 14.35 (double coat </w:t>
      </w:r>
      <w:r w:rsidR="00B11428">
        <w:rPr>
          <w:rFonts w:ascii="Verdana" w:hAnsi="Verdana"/>
          <w:i/>
          <w:iCs/>
          <w:color w:val="4472C4" w:themeColor="accent1"/>
          <w:sz w:val="24"/>
          <w:szCs w:val="24"/>
        </w:rPr>
        <w:t xml:space="preserve">Tim Tams </w:t>
      </w:r>
      <w:r w:rsidR="00514A91" w:rsidRPr="00514A91">
        <w:rPr>
          <w:rFonts w:ascii="Verdana" w:hAnsi="Verdana"/>
          <w:i/>
          <w:iCs/>
          <w:color w:val="4472C4" w:themeColor="accent1"/>
          <w:sz w:val="24"/>
          <w:szCs w:val="24"/>
        </w:rPr>
        <w:t xml:space="preserve">seems to be smoother) Ruler standard Tim Tams coffee flavour 13mm, 12.5-13mm, 13 mm. </w:t>
      </w:r>
    </w:p>
    <w:p w14:paraId="08E8129C" w14:textId="19E593D6" w:rsidR="006F2DEC" w:rsidRDefault="00AE0087" w:rsidP="006F2DEC">
      <w:pPr>
        <w:pStyle w:val="ListParagraph"/>
        <w:ind w:left="0"/>
        <w:rPr>
          <w:rFonts w:ascii="Verdana" w:hAnsi="Verdana"/>
          <w:sz w:val="20"/>
          <w:szCs w:val="20"/>
        </w:rPr>
      </w:pPr>
      <w:r w:rsidRPr="006F2DEC">
        <w:rPr>
          <w:rFonts w:ascii="Verdana" w:hAnsi="Verdana"/>
          <w:sz w:val="20"/>
          <w:szCs w:val="20"/>
        </w:rPr>
        <w:t>Notes: I may ask you to measure multiples of a type of item and then carry out statistical analysis – e.g. average and standard deviation.</w:t>
      </w:r>
      <w:r w:rsidR="006F2DEC" w:rsidRPr="006F2DEC">
        <w:rPr>
          <w:rFonts w:ascii="Verdana" w:hAnsi="Verdana"/>
          <w:sz w:val="20"/>
          <w:szCs w:val="20"/>
        </w:rPr>
        <w:t xml:space="preserve"> This may also be done with batches of rice grains or peas or other</w:t>
      </w:r>
      <w:r w:rsidR="003E20DE">
        <w:rPr>
          <w:rFonts w:ascii="Verdana" w:hAnsi="Verdana"/>
          <w:sz w:val="20"/>
          <w:szCs w:val="20"/>
        </w:rPr>
        <w:t xml:space="preserve"> grain or</w:t>
      </w:r>
      <w:r w:rsidR="006F2DEC" w:rsidRPr="006F2DEC">
        <w:rPr>
          <w:rFonts w:ascii="Verdana" w:hAnsi="Verdana"/>
          <w:sz w:val="20"/>
          <w:szCs w:val="20"/>
        </w:rPr>
        <w:t xml:space="preserve"> leguminous items (a maximum of 20)</w:t>
      </w:r>
      <w:r w:rsidR="00514A91">
        <w:rPr>
          <w:rFonts w:ascii="Verdana" w:hAnsi="Verdana"/>
          <w:sz w:val="20"/>
          <w:szCs w:val="20"/>
        </w:rPr>
        <w:t>.</w:t>
      </w:r>
    </w:p>
    <w:p w14:paraId="1765312A" w14:textId="201BE97B" w:rsidR="004959E3" w:rsidRDefault="004959E3" w:rsidP="006F2DEC">
      <w:pPr>
        <w:pStyle w:val="ListParagraph"/>
        <w:ind w:left="0"/>
        <w:rPr>
          <w:rFonts w:ascii="Verdana" w:hAnsi="Verdana"/>
          <w:sz w:val="20"/>
          <w:szCs w:val="20"/>
        </w:rPr>
      </w:pPr>
    </w:p>
    <w:p w14:paraId="69D8E9A0" w14:textId="56CD8446" w:rsidR="004959E3" w:rsidRPr="00FC229B" w:rsidRDefault="004959E3" w:rsidP="006F2DEC">
      <w:pPr>
        <w:pStyle w:val="ListParagraph"/>
        <w:ind w:left="0"/>
        <w:rPr>
          <w:rFonts w:ascii="Verdana" w:hAnsi="Verdana"/>
          <w:sz w:val="24"/>
          <w:szCs w:val="24"/>
        </w:rPr>
      </w:pPr>
      <w:r w:rsidRPr="00FC229B">
        <w:rPr>
          <w:rFonts w:ascii="Verdana" w:hAnsi="Verdana"/>
          <w:sz w:val="24"/>
          <w:szCs w:val="24"/>
        </w:rPr>
        <w:t>Please see attached ImageJ Analysis instructions if you will be using a ruler instead.</w:t>
      </w:r>
    </w:p>
    <w:p w14:paraId="6A867685" w14:textId="77777777" w:rsidR="00514A91" w:rsidRPr="006F2DEC" w:rsidRDefault="00514A91" w:rsidP="006F2DEC">
      <w:pPr>
        <w:pStyle w:val="ListParagraph"/>
        <w:ind w:left="0"/>
        <w:rPr>
          <w:rFonts w:ascii="Verdana" w:hAnsi="Verdana"/>
          <w:sz w:val="20"/>
          <w:szCs w:val="20"/>
        </w:rPr>
      </w:pPr>
    </w:p>
    <w:p w14:paraId="5B4A0A4B" w14:textId="33F51F5B" w:rsidR="00AE0087" w:rsidRPr="00AE0087" w:rsidRDefault="00AE0087" w:rsidP="00AE0087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  <w:u w:val="single"/>
        </w:rPr>
        <w:lastRenderedPageBreak/>
        <w:t>Fault Analysis</w:t>
      </w:r>
    </w:p>
    <w:p w14:paraId="4269435C" w14:textId="4F3E8C0B" w:rsidR="00AE0087" w:rsidRDefault="00E6073F" w:rsidP="00AE008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This is an identification and count based exercise.</w:t>
      </w:r>
    </w:p>
    <w:p w14:paraId="2D8F64FA" w14:textId="718576F7" w:rsidR="006A6948" w:rsidRPr="006A6948" w:rsidRDefault="006A6948" w:rsidP="006A6948">
      <w:pPr>
        <w:pStyle w:val="ListParagraph"/>
        <w:numPr>
          <w:ilvl w:val="0"/>
          <w:numId w:val="4"/>
        </w:numPr>
        <w:rPr>
          <w:rFonts w:ascii="Verdana" w:hAnsi="Verdana"/>
          <w:sz w:val="24"/>
          <w:szCs w:val="24"/>
        </w:rPr>
      </w:pPr>
      <w:r w:rsidRPr="006A6948">
        <w:rPr>
          <w:rFonts w:ascii="Verdana" w:hAnsi="Verdana"/>
          <w:sz w:val="24"/>
          <w:szCs w:val="24"/>
        </w:rPr>
        <w:t>Firstly</w:t>
      </w:r>
      <w:r>
        <w:rPr>
          <w:rFonts w:ascii="Verdana" w:hAnsi="Verdana"/>
          <w:sz w:val="24"/>
          <w:szCs w:val="24"/>
        </w:rPr>
        <w:t>,</w:t>
      </w:r>
      <w:r w:rsidRPr="006A6948">
        <w:rPr>
          <w:rFonts w:ascii="Verdana" w:hAnsi="Verdana"/>
          <w:sz w:val="24"/>
          <w:szCs w:val="24"/>
        </w:rPr>
        <w:t xml:space="preserve"> examine the packet for any faults with the packaging</w:t>
      </w:r>
      <w:r w:rsidR="00514A91">
        <w:rPr>
          <w:rFonts w:ascii="Verdana" w:hAnsi="Verdana"/>
          <w:sz w:val="24"/>
          <w:szCs w:val="24"/>
        </w:rPr>
        <w:t xml:space="preserve"> – considering labelling standards and any breaches of the packaging</w:t>
      </w:r>
      <w:r w:rsidRPr="006A6948">
        <w:rPr>
          <w:rFonts w:ascii="Verdana" w:hAnsi="Verdana"/>
          <w:sz w:val="24"/>
          <w:szCs w:val="24"/>
        </w:rPr>
        <w:t>.</w:t>
      </w:r>
    </w:p>
    <w:p w14:paraId="2B20EECD" w14:textId="38194F16" w:rsidR="006A6948" w:rsidRDefault="006A6948" w:rsidP="006A6948">
      <w:pPr>
        <w:pStyle w:val="ListParagraph"/>
        <w:numPr>
          <w:ilvl w:val="0"/>
          <w:numId w:val="4"/>
        </w:numPr>
        <w:rPr>
          <w:rFonts w:ascii="Verdana" w:hAnsi="Verdana"/>
          <w:sz w:val="24"/>
          <w:szCs w:val="24"/>
        </w:rPr>
      </w:pPr>
      <w:r w:rsidRPr="006A6948">
        <w:rPr>
          <w:rFonts w:ascii="Verdana" w:hAnsi="Verdana"/>
          <w:sz w:val="24"/>
          <w:szCs w:val="24"/>
        </w:rPr>
        <w:t xml:space="preserve">Using a </w:t>
      </w:r>
      <w:r w:rsidR="00674320">
        <w:rPr>
          <w:rFonts w:ascii="Verdana" w:hAnsi="Verdana"/>
          <w:sz w:val="24"/>
          <w:szCs w:val="24"/>
        </w:rPr>
        <w:t xml:space="preserve">bulk </w:t>
      </w:r>
      <w:r w:rsidRPr="006A6948">
        <w:rPr>
          <w:rFonts w:ascii="Verdana" w:hAnsi="Verdana"/>
          <w:sz w:val="24"/>
          <w:szCs w:val="24"/>
        </w:rPr>
        <w:t>packet of crackers</w:t>
      </w:r>
      <w:r>
        <w:rPr>
          <w:rFonts w:ascii="Verdana" w:hAnsi="Verdana"/>
          <w:sz w:val="24"/>
          <w:szCs w:val="24"/>
        </w:rPr>
        <w:t xml:space="preserve">, </w:t>
      </w:r>
      <w:r w:rsidRPr="006A6948">
        <w:rPr>
          <w:rFonts w:ascii="Verdana" w:hAnsi="Verdana"/>
          <w:sz w:val="24"/>
          <w:szCs w:val="24"/>
        </w:rPr>
        <w:t>biscuits</w:t>
      </w:r>
      <w:r>
        <w:rPr>
          <w:rFonts w:ascii="Verdana" w:hAnsi="Verdana"/>
          <w:sz w:val="24"/>
          <w:szCs w:val="24"/>
        </w:rPr>
        <w:t xml:space="preserve"> or nuts</w:t>
      </w:r>
      <w:r w:rsidR="00514A91">
        <w:rPr>
          <w:rFonts w:ascii="Verdana" w:hAnsi="Verdana"/>
          <w:sz w:val="24"/>
          <w:szCs w:val="24"/>
        </w:rPr>
        <w:t xml:space="preserve"> (limit to no more than 20)</w:t>
      </w:r>
      <w:r w:rsidRPr="006A6948">
        <w:rPr>
          <w:rFonts w:ascii="Verdana" w:hAnsi="Verdana"/>
          <w:sz w:val="24"/>
          <w:szCs w:val="24"/>
        </w:rPr>
        <w:t xml:space="preserve"> as an example, count the overall items – this could be sped up by weighing all of the items as batch, then weigh one individual item before calculating the number present.</w:t>
      </w:r>
      <w:r w:rsidR="006F2DEC">
        <w:rPr>
          <w:rFonts w:ascii="Verdana" w:hAnsi="Verdana"/>
          <w:sz w:val="24"/>
          <w:szCs w:val="24"/>
        </w:rPr>
        <w:t xml:space="preserve"> </w:t>
      </w:r>
    </w:p>
    <w:p w14:paraId="105C7609" w14:textId="2B554A35" w:rsidR="00674320" w:rsidRPr="006A6948" w:rsidRDefault="00674320" w:rsidP="006A6948">
      <w:pPr>
        <w:pStyle w:val="ListParagraph"/>
        <w:numPr>
          <w:ilvl w:val="0"/>
          <w:numId w:val="4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Another component could be comparing weight of the actual food in the package against the labelled amount. (see next task)</w:t>
      </w:r>
    </w:p>
    <w:p w14:paraId="0FF60093" w14:textId="07CFFC79" w:rsidR="006A6948" w:rsidRDefault="006A6948" w:rsidP="006A6948">
      <w:pPr>
        <w:pStyle w:val="ListParagraph"/>
        <w:numPr>
          <w:ilvl w:val="0"/>
          <w:numId w:val="4"/>
        </w:numPr>
        <w:rPr>
          <w:rFonts w:ascii="Verdana" w:hAnsi="Verdana"/>
          <w:sz w:val="24"/>
          <w:szCs w:val="24"/>
        </w:rPr>
      </w:pPr>
      <w:r w:rsidRPr="006A6948">
        <w:rPr>
          <w:rFonts w:ascii="Verdana" w:hAnsi="Verdana"/>
          <w:sz w:val="24"/>
          <w:szCs w:val="24"/>
        </w:rPr>
        <w:t>Separate out and classify any ‘faults’. Carry out statistical analysis on the packet/batch.</w:t>
      </w:r>
    </w:p>
    <w:p w14:paraId="51156CBF" w14:textId="77777777" w:rsidR="00674320" w:rsidRPr="006A6948" w:rsidRDefault="00674320" w:rsidP="00674320">
      <w:pPr>
        <w:pStyle w:val="ListParagraph"/>
        <w:rPr>
          <w:rFonts w:ascii="Verdana" w:hAnsi="Verdana"/>
          <w:sz w:val="24"/>
          <w:szCs w:val="24"/>
        </w:rPr>
      </w:pPr>
    </w:p>
    <w:p w14:paraId="5EFAD5E9" w14:textId="670EC9BD" w:rsidR="006A6948" w:rsidRPr="00674320" w:rsidRDefault="00674320" w:rsidP="00674320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  <w:u w:val="single"/>
        </w:rPr>
      </w:pPr>
      <w:r w:rsidRPr="00674320">
        <w:rPr>
          <w:rFonts w:ascii="Verdana" w:hAnsi="Verdana"/>
          <w:sz w:val="24"/>
          <w:szCs w:val="24"/>
          <w:u w:val="single"/>
        </w:rPr>
        <w:t>Checking against Package labels</w:t>
      </w:r>
    </w:p>
    <w:p w14:paraId="3D5E4222" w14:textId="1EB6BE4B" w:rsidR="00674320" w:rsidRDefault="00674320" w:rsidP="00674320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This will involve comparing packet amount against what is labelled. We will use a multi-pack item for this exercise.</w:t>
      </w:r>
    </w:p>
    <w:p w14:paraId="48666498" w14:textId="2F7B4BC4" w:rsidR="00674320" w:rsidRPr="00D475DC" w:rsidRDefault="00674320" w:rsidP="00674320">
      <w:pPr>
        <w:pStyle w:val="ListParagraph"/>
        <w:numPr>
          <w:ilvl w:val="0"/>
          <w:numId w:val="5"/>
        </w:numPr>
        <w:rPr>
          <w:rFonts w:ascii="Verdana" w:hAnsi="Verdana"/>
          <w:i/>
          <w:iCs/>
          <w:color w:val="4472C4" w:themeColor="accent1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This may involve a few small canned items or a box of muesli bars or a multipack box of chips/crackers. </w:t>
      </w:r>
      <w:r w:rsidR="00D80846" w:rsidRPr="00D475DC">
        <w:rPr>
          <w:rFonts w:ascii="Verdana" w:hAnsi="Verdana"/>
          <w:i/>
          <w:iCs/>
          <w:color w:val="4472C4" w:themeColor="accent1"/>
          <w:sz w:val="24"/>
          <w:szCs w:val="24"/>
        </w:rPr>
        <w:t xml:space="preserve">Tuna can example from Tayla – whole can weight = 127.32 grams – Can specifies 95 g of tuna – actual weight of (different scales) 99 grams. Tim Tams packed 160g – 18.73g, 19.58g, 18.5g. Double coat </w:t>
      </w:r>
      <w:r w:rsidR="00D475DC" w:rsidRPr="00D475DC">
        <w:rPr>
          <w:rFonts w:ascii="Verdana" w:hAnsi="Verdana"/>
          <w:i/>
          <w:iCs/>
          <w:color w:val="4472C4" w:themeColor="accent1"/>
          <w:sz w:val="24"/>
          <w:szCs w:val="24"/>
        </w:rPr>
        <w:t>package is labelled a</w:t>
      </w:r>
      <w:r w:rsidR="00D80846" w:rsidRPr="00D475DC">
        <w:rPr>
          <w:rFonts w:ascii="Verdana" w:hAnsi="Verdana"/>
          <w:i/>
          <w:iCs/>
          <w:color w:val="4472C4" w:themeColor="accent1"/>
          <w:sz w:val="24"/>
          <w:szCs w:val="24"/>
        </w:rPr>
        <w:t>s 200g</w:t>
      </w:r>
    </w:p>
    <w:p w14:paraId="61A6FF6B" w14:textId="43E438EC" w:rsidR="00674320" w:rsidRDefault="00674320" w:rsidP="00674320">
      <w:pPr>
        <w:pStyle w:val="ListParagraph"/>
        <w:numPr>
          <w:ilvl w:val="0"/>
          <w:numId w:val="5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Weigh each fully packaged item.</w:t>
      </w:r>
    </w:p>
    <w:p w14:paraId="25689498" w14:textId="4EADAA18" w:rsidR="00674320" w:rsidRDefault="00674320" w:rsidP="00674320">
      <w:pPr>
        <w:pStyle w:val="ListParagraph"/>
        <w:numPr>
          <w:ilvl w:val="0"/>
          <w:numId w:val="5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Separate edible items from the package.</w:t>
      </w:r>
    </w:p>
    <w:p w14:paraId="77634B08" w14:textId="28165A13" w:rsidR="00674320" w:rsidRDefault="00674320" w:rsidP="00674320">
      <w:pPr>
        <w:pStyle w:val="ListParagraph"/>
        <w:numPr>
          <w:ilvl w:val="0"/>
          <w:numId w:val="5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Determine % of edible matter in the package.</w:t>
      </w:r>
    </w:p>
    <w:p w14:paraId="7C8A4365" w14:textId="0ED2E99E" w:rsidR="00D475DC" w:rsidRDefault="00D475DC" w:rsidP="00674320">
      <w:pPr>
        <w:pStyle w:val="ListParagraph"/>
        <w:numPr>
          <w:ilvl w:val="0"/>
          <w:numId w:val="5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Compare to labelled package weights</w:t>
      </w:r>
      <w:r w:rsidR="009A214E">
        <w:rPr>
          <w:rFonts w:ascii="Verdana" w:hAnsi="Verdana"/>
          <w:sz w:val="24"/>
          <w:szCs w:val="24"/>
        </w:rPr>
        <w:t xml:space="preserve"> – typically if it’s over that’s ok – because a customer wouldn’t be unhappy, it’s when it’ underweight that it’s a problem.</w:t>
      </w:r>
    </w:p>
    <w:p w14:paraId="11D2B4E2" w14:textId="77777777" w:rsidR="00674320" w:rsidRPr="00674320" w:rsidRDefault="00674320" w:rsidP="00674320">
      <w:pPr>
        <w:pStyle w:val="ListParagraph"/>
        <w:rPr>
          <w:rFonts w:ascii="Verdana" w:hAnsi="Verdana"/>
          <w:sz w:val="24"/>
          <w:szCs w:val="24"/>
        </w:rPr>
      </w:pPr>
    </w:p>
    <w:p w14:paraId="44FB880A" w14:textId="53507B9A" w:rsidR="006A6948" w:rsidRPr="006A6948" w:rsidRDefault="006A6948" w:rsidP="006A6948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  <w:u w:val="single"/>
        </w:rPr>
      </w:pPr>
      <w:r w:rsidRPr="006A6948">
        <w:rPr>
          <w:rFonts w:ascii="Verdana" w:hAnsi="Verdana"/>
          <w:sz w:val="24"/>
          <w:szCs w:val="24"/>
          <w:u w:val="single"/>
        </w:rPr>
        <w:t>pH</w:t>
      </w:r>
      <w:r w:rsidR="00674320">
        <w:rPr>
          <w:rFonts w:ascii="Verdana" w:hAnsi="Verdana"/>
          <w:sz w:val="24"/>
          <w:szCs w:val="24"/>
          <w:u w:val="single"/>
        </w:rPr>
        <w:t>, water a</w:t>
      </w:r>
      <w:r w:rsidR="00FA124A">
        <w:rPr>
          <w:rFonts w:ascii="Verdana" w:hAnsi="Verdana"/>
          <w:sz w:val="24"/>
          <w:szCs w:val="24"/>
          <w:u w:val="single"/>
        </w:rPr>
        <w:t>c</w:t>
      </w:r>
      <w:r w:rsidR="00674320">
        <w:rPr>
          <w:rFonts w:ascii="Verdana" w:hAnsi="Verdana"/>
          <w:sz w:val="24"/>
          <w:szCs w:val="24"/>
          <w:u w:val="single"/>
        </w:rPr>
        <w:t>tivity</w:t>
      </w:r>
      <w:r w:rsidRPr="006A6948">
        <w:rPr>
          <w:rFonts w:ascii="Verdana" w:hAnsi="Verdana"/>
          <w:sz w:val="24"/>
          <w:szCs w:val="24"/>
          <w:u w:val="single"/>
        </w:rPr>
        <w:t xml:space="preserve"> and Food safety</w:t>
      </w:r>
    </w:p>
    <w:p w14:paraId="7F105255" w14:textId="7B8ACD34" w:rsidR="00BC47AB" w:rsidRDefault="00674320" w:rsidP="00674320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You will be using pH paper (at home) or pH probes and water activity meters (in USQ labs) to measure the properties of multiple items then evaluating their food safety.</w:t>
      </w:r>
      <w:r w:rsidR="00FA124A">
        <w:rPr>
          <w:rFonts w:ascii="Verdana" w:hAnsi="Verdana"/>
          <w:sz w:val="24"/>
          <w:szCs w:val="24"/>
        </w:rPr>
        <w:t xml:space="preserve"> pH will be the core measure since this can be done anywhere (home or lab)</w:t>
      </w:r>
      <w:r w:rsidR="00F71796">
        <w:rPr>
          <w:rFonts w:ascii="Verdana" w:hAnsi="Verdana"/>
          <w:sz w:val="24"/>
          <w:szCs w:val="24"/>
        </w:rPr>
        <w:t>.</w:t>
      </w:r>
    </w:p>
    <w:p w14:paraId="6B5458E7" w14:textId="12177991" w:rsidR="00674320" w:rsidRDefault="00674320" w:rsidP="00674320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 good resource for the evaluation component is Chapter 3 of the FSANZ Food Standards code which outlines some pH limits (e.g. &lt;4.6 for preserved fruits/vegetables and &lt;3.5 for jam according to the Codex Al</w:t>
      </w:r>
      <w:r w:rsidR="00F71796">
        <w:rPr>
          <w:rFonts w:ascii="Verdana" w:hAnsi="Verdana"/>
          <w:sz w:val="24"/>
          <w:szCs w:val="24"/>
        </w:rPr>
        <w:t>i</w:t>
      </w:r>
      <w:r>
        <w:rPr>
          <w:rFonts w:ascii="Verdana" w:hAnsi="Verdana"/>
          <w:sz w:val="24"/>
          <w:szCs w:val="24"/>
        </w:rPr>
        <w:t>mentarius) and a</w:t>
      </w:r>
      <w:r w:rsidRPr="00674320">
        <w:rPr>
          <w:rFonts w:ascii="Verdana" w:hAnsi="Verdana"/>
          <w:sz w:val="24"/>
          <w:szCs w:val="24"/>
          <w:vertAlign w:val="subscript"/>
        </w:rPr>
        <w:t>w</w:t>
      </w:r>
      <w:r>
        <w:rPr>
          <w:rFonts w:ascii="Verdana" w:hAnsi="Verdana"/>
          <w:sz w:val="24"/>
          <w:szCs w:val="24"/>
        </w:rPr>
        <w:t xml:space="preserve"> limits for some foods - </w:t>
      </w:r>
      <w:hyperlink r:id="rId7" w:history="1">
        <w:r w:rsidRPr="00EF4A90">
          <w:rPr>
            <w:rStyle w:val="Hyperlink"/>
            <w:rFonts w:ascii="Verdana" w:hAnsi="Verdana"/>
            <w:sz w:val="24"/>
            <w:szCs w:val="24"/>
          </w:rPr>
          <w:t>https://www.foodstandards.gov.au/code/Pages/default.aspx</w:t>
        </w:r>
      </w:hyperlink>
      <w:r>
        <w:rPr>
          <w:rFonts w:ascii="Verdana" w:hAnsi="Verdana"/>
          <w:sz w:val="24"/>
          <w:szCs w:val="24"/>
        </w:rPr>
        <w:t xml:space="preserve"> as well as the guide to the standards </w:t>
      </w:r>
      <w:hyperlink r:id="rId8" w:history="1">
        <w:r w:rsidRPr="00EF4A90">
          <w:rPr>
            <w:rStyle w:val="Hyperlink"/>
            <w:rFonts w:ascii="Verdana" w:hAnsi="Verdana"/>
            <w:sz w:val="24"/>
            <w:szCs w:val="24"/>
          </w:rPr>
          <w:t>https://www.foodstandards.gov.au/publications/Documents/Safe%20Food%20Australia/FSANZ%20Safe%20Food%20Australia_WEB.pdf</w:t>
        </w:r>
      </w:hyperlink>
      <w:r>
        <w:rPr>
          <w:rFonts w:ascii="Verdana" w:hAnsi="Verdana"/>
          <w:sz w:val="24"/>
          <w:szCs w:val="24"/>
        </w:rPr>
        <w:t xml:space="preserve"> </w:t>
      </w:r>
    </w:p>
    <w:p w14:paraId="245938FA" w14:textId="77777777" w:rsidR="00F71796" w:rsidRPr="00F71796" w:rsidRDefault="00F71796" w:rsidP="00674320">
      <w:pPr>
        <w:rPr>
          <w:rFonts w:ascii="Verdana" w:hAnsi="Verdana"/>
          <w:sz w:val="24"/>
          <w:szCs w:val="24"/>
          <w:u w:val="single"/>
        </w:rPr>
      </w:pPr>
      <w:r w:rsidRPr="00F71796">
        <w:rPr>
          <w:rFonts w:ascii="Verdana" w:hAnsi="Verdana"/>
          <w:sz w:val="24"/>
          <w:szCs w:val="24"/>
          <w:u w:val="single"/>
        </w:rPr>
        <w:lastRenderedPageBreak/>
        <w:t>Two stages of measurement.</w:t>
      </w:r>
    </w:p>
    <w:p w14:paraId="239E397C" w14:textId="77777777" w:rsidR="00F71796" w:rsidRDefault="00F71796" w:rsidP="00674320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Test the brine/syrup etc separately to the solids. </w:t>
      </w:r>
    </w:p>
    <w:p w14:paraId="70B6A24D" w14:textId="44626D97" w:rsidR="00F71796" w:rsidRPr="00674320" w:rsidRDefault="00F71796" w:rsidP="00674320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Then test the blended samples. Blend up the sample to provide a homogeneous sample of what is being tested and then measure pH. </w:t>
      </w:r>
    </w:p>
    <w:sectPr w:rsidR="00F71796" w:rsidRPr="006743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F71AEC"/>
    <w:multiLevelType w:val="hybridMultilevel"/>
    <w:tmpl w:val="B07622E6"/>
    <w:lvl w:ilvl="0" w:tplc="53A0A21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2716D"/>
    <w:multiLevelType w:val="hybridMultilevel"/>
    <w:tmpl w:val="2C2CD79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70C05"/>
    <w:multiLevelType w:val="hybridMultilevel"/>
    <w:tmpl w:val="8F009AB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843F5C"/>
    <w:multiLevelType w:val="hybridMultilevel"/>
    <w:tmpl w:val="F104E30E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817E21"/>
    <w:multiLevelType w:val="hybridMultilevel"/>
    <w:tmpl w:val="22823BA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54AA590">
      <w:start w:val="1"/>
      <w:numFmt w:val="lowerLetter"/>
      <w:lvlText w:val="%2."/>
      <w:lvlJc w:val="left"/>
      <w:pPr>
        <w:ind w:left="1080" w:hanging="360"/>
      </w:pPr>
      <w:rPr>
        <w:i w:val="0"/>
        <w:iCs w:val="0"/>
        <w:color w:val="000000" w:themeColor="text1"/>
      </w:rPr>
    </w:lvl>
    <w:lvl w:ilvl="2" w:tplc="80B64D52">
      <w:start w:val="1"/>
      <w:numFmt w:val="lowerRoman"/>
      <w:lvlText w:val="%3."/>
      <w:lvlJc w:val="right"/>
      <w:pPr>
        <w:ind w:left="1800" w:hanging="180"/>
      </w:pPr>
      <w:rPr>
        <w:i/>
        <w:iCs/>
        <w:color w:val="4472C4" w:themeColor="accent1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777"/>
    <w:rsid w:val="0000216B"/>
    <w:rsid w:val="00133902"/>
    <w:rsid w:val="001D0E4D"/>
    <w:rsid w:val="002109B3"/>
    <w:rsid w:val="002245D6"/>
    <w:rsid w:val="00243237"/>
    <w:rsid w:val="002B7821"/>
    <w:rsid w:val="003A21CE"/>
    <w:rsid w:val="003C4C93"/>
    <w:rsid w:val="003D0E7D"/>
    <w:rsid w:val="003E20DE"/>
    <w:rsid w:val="003E4875"/>
    <w:rsid w:val="00404318"/>
    <w:rsid w:val="00457C4D"/>
    <w:rsid w:val="00464422"/>
    <w:rsid w:val="004959E3"/>
    <w:rsid w:val="004D2999"/>
    <w:rsid w:val="00514A91"/>
    <w:rsid w:val="005C63A4"/>
    <w:rsid w:val="005D77C3"/>
    <w:rsid w:val="005E67E2"/>
    <w:rsid w:val="006460C3"/>
    <w:rsid w:val="006530E8"/>
    <w:rsid w:val="00674320"/>
    <w:rsid w:val="00682262"/>
    <w:rsid w:val="006A6948"/>
    <w:rsid w:val="006F2DEC"/>
    <w:rsid w:val="00750968"/>
    <w:rsid w:val="00794A07"/>
    <w:rsid w:val="007F02FA"/>
    <w:rsid w:val="007F366F"/>
    <w:rsid w:val="00864777"/>
    <w:rsid w:val="00870B62"/>
    <w:rsid w:val="00973F5F"/>
    <w:rsid w:val="009A214E"/>
    <w:rsid w:val="009A341E"/>
    <w:rsid w:val="009A474B"/>
    <w:rsid w:val="00A027AC"/>
    <w:rsid w:val="00A82734"/>
    <w:rsid w:val="00AB41C5"/>
    <w:rsid w:val="00AE0087"/>
    <w:rsid w:val="00B05F79"/>
    <w:rsid w:val="00B10D67"/>
    <w:rsid w:val="00B11428"/>
    <w:rsid w:val="00B83BBC"/>
    <w:rsid w:val="00BC47AB"/>
    <w:rsid w:val="00C25161"/>
    <w:rsid w:val="00D21D78"/>
    <w:rsid w:val="00D35AAE"/>
    <w:rsid w:val="00D475DC"/>
    <w:rsid w:val="00D80846"/>
    <w:rsid w:val="00DD7A87"/>
    <w:rsid w:val="00E0308A"/>
    <w:rsid w:val="00E6073F"/>
    <w:rsid w:val="00EB6362"/>
    <w:rsid w:val="00F63E6B"/>
    <w:rsid w:val="00F71796"/>
    <w:rsid w:val="00FA124A"/>
    <w:rsid w:val="00FC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92697"/>
  <w15:chartTrackingRefBased/>
  <w15:docId w15:val="{CBC96BCD-C648-431F-B60F-7E3165375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60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09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96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E00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00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odstandards.gov.au/publications/Documents/Safe%20Food%20Australia/FSANZ%20Safe%20Food%20Australia_WEB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oodstandards.gov.au/code/Pages/default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niphysics.com/how-to-read-a-vernier-caliper.htm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630</Words>
  <Characters>3605</Characters>
  <Application>Microsoft Office Word</Application>
  <DocSecurity>0</DocSecurity>
  <Lines>300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Polly Burey</dc:creator>
  <cp:keywords/>
  <dc:description/>
  <cp:lastModifiedBy>Polly Burey</cp:lastModifiedBy>
  <cp:revision>3</cp:revision>
  <dcterms:created xsi:type="dcterms:W3CDTF">2021-08-15T23:53:00Z</dcterms:created>
  <dcterms:modified xsi:type="dcterms:W3CDTF">2021-08-15T23:54:00Z</dcterms:modified>
</cp:coreProperties>
</file>